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9E" w:rsidRPr="006B1A09" w:rsidRDefault="00BF289E" w:rsidP="00BF289E">
      <w:pPr>
        <w:pStyle w:val="Corpotesto"/>
        <w:spacing w:before="200" w:after="200" w:line="0" w:lineRule="atLeast"/>
        <w:jc w:val="center"/>
        <w:rPr>
          <w:rFonts w:ascii="Bernard MT Condensed" w:hAnsi="Bernard MT Condensed"/>
          <w:sz w:val="56"/>
          <w:szCs w:val="56"/>
        </w:rPr>
      </w:pPr>
      <w:bookmarkStart w:id="0" w:name="_GoBack"/>
      <w:r w:rsidRPr="006B1A09">
        <w:rPr>
          <w:rFonts w:ascii="Bernard MT Condensed" w:hAnsi="Bernard MT Condensed"/>
          <w:sz w:val="56"/>
          <w:szCs w:val="56"/>
        </w:rPr>
        <w:t>Mediazione civile e commerciale, verso l’istituzione dello Sportello comunale a Cori</w:t>
      </w:r>
    </w:p>
    <w:p w:rsidR="00BF289E" w:rsidRPr="00913097" w:rsidRDefault="00BF289E" w:rsidP="00BF289E">
      <w:pPr>
        <w:pStyle w:val="Corpotesto"/>
        <w:spacing w:before="200" w:after="200" w:line="0" w:lineRule="atLeast"/>
        <w:jc w:val="both"/>
        <w:rPr>
          <w:rFonts w:ascii="Impact" w:hAnsi="Impact"/>
          <w:sz w:val="27"/>
          <w:szCs w:val="27"/>
        </w:rPr>
      </w:pPr>
      <w:r w:rsidRPr="00913097">
        <w:rPr>
          <w:rFonts w:ascii="Impact" w:hAnsi="Impact"/>
          <w:sz w:val="27"/>
          <w:szCs w:val="27"/>
        </w:rPr>
        <w:t xml:space="preserve">Approvata la delibera di indirizzo dalla Giunta Municipale, si va verso l’indizione di </w:t>
      </w:r>
      <w:r w:rsidRPr="00913097">
        <w:rPr>
          <w:rFonts w:ascii="Impact" w:hAnsi="Impact"/>
          <w:spacing w:val="-3"/>
          <w:sz w:val="27"/>
          <w:szCs w:val="27"/>
        </w:rPr>
        <w:t xml:space="preserve">un </w:t>
      </w:r>
      <w:r w:rsidRPr="00913097">
        <w:rPr>
          <w:rFonts w:ascii="Impact" w:hAnsi="Impact"/>
          <w:spacing w:val="-7"/>
          <w:sz w:val="27"/>
          <w:szCs w:val="27"/>
        </w:rPr>
        <w:t xml:space="preserve">bando pubblico </w:t>
      </w:r>
      <w:r w:rsidRPr="00913097">
        <w:rPr>
          <w:rFonts w:ascii="Impact" w:hAnsi="Impact"/>
          <w:spacing w:val="-6"/>
          <w:sz w:val="27"/>
          <w:szCs w:val="27"/>
        </w:rPr>
        <w:t xml:space="preserve">per </w:t>
      </w:r>
      <w:r w:rsidRPr="00913097">
        <w:rPr>
          <w:rFonts w:ascii="Impact" w:hAnsi="Impact"/>
          <w:spacing w:val="-5"/>
          <w:sz w:val="27"/>
          <w:szCs w:val="27"/>
        </w:rPr>
        <w:t xml:space="preserve">l’individuazione di </w:t>
      </w:r>
      <w:r w:rsidRPr="00913097">
        <w:rPr>
          <w:rFonts w:ascii="Impact" w:hAnsi="Impact"/>
          <w:spacing w:val="-3"/>
          <w:sz w:val="27"/>
          <w:szCs w:val="27"/>
        </w:rPr>
        <w:t xml:space="preserve">un </w:t>
      </w:r>
      <w:r w:rsidRPr="00913097">
        <w:rPr>
          <w:rFonts w:ascii="Impact" w:hAnsi="Impact"/>
          <w:spacing w:val="-10"/>
          <w:sz w:val="27"/>
          <w:szCs w:val="27"/>
        </w:rPr>
        <w:t xml:space="preserve">Organismo </w:t>
      </w:r>
      <w:r w:rsidRPr="00913097">
        <w:rPr>
          <w:rFonts w:ascii="Impact" w:hAnsi="Impact"/>
          <w:spacing w:val="-3"/>
          <w:sz w:val="27"/>
          <w:szCs w:val="27"/>
        </w:rPr>
        <w:t xml:space="preserve">di </w:t>
      </w:r>
      <w:r w:rsidRPr="00913097">
        <w:rPr>
          <w:rFonts w:ascii="Impact" w:hAnsi="Impact"/>
          <w:spacing w:val="-7"/>
          <w:sz w:val="27"/>
          <w:szCs w:val="27"/>
        </w:rPr>
        <w:t xml:space="preserve">Mediazione </w:t>
      </w:r>
      <w:r w:rsidRPr="00913097">
        <w:rPr>
          <w:rFonts w:ascii="Impact" w:hAnsi="Impact"/>
          <w:spacing w:val="-5"/>
          <w:sz w:val="27"/>
          <w:szCs w:val="27"/>
        </w:rPr>
        <w:t xml:space="preserve">accreditato </w:t>
      </w:r>
      <w:r w:rsidRPr="00913097">
        <w:rPr>
          <w:rFonts w:ascii="Impact" w:hAnsi="Impact"/>
          <w:spacing w:val="-10"/>
          <w:sz w:val="27"/>
          <w:szCs w:val="27"/>
        </w:rPr>
        <w:t xml:space="preserve">presso </w:t>
      </w:r>
      <w:r w:rsidRPr="00913097">
        <w:rPr>
          <w:rFonts w:ascii="Impact" w:hAnsi="Impact"/>
          <w:sz w:val="27"/>
          <w:szCs w:val="27"/>
        </w:rPr>
        <w:t xml:space="preserve">il </w:t>
      </w:r>
      <w:r w:rsidRPr="00913097">
        <w:rPr>
          <w:rFonts w:ascii="Impact" w:hAnsi="Impact"/>
          <w:spacing w:val="-3"/>
          <w:sz w:val="27"/>
          <w:szCs w:val="27"/>
        </w:rPr>
        <w:t xml:space="preserve">Ministero </w:t>
      </w:r>
      <w:r w:rsidRPr="00913097">
        <w:rPr>
          <w:rFonts w:ascii="Impact" w:hAnsi="Impact"/>
          <w:spacing w:val="-4"/>
          <w:sz w:val="27"/>
          <w:szCs w:val="27"/>
        </w:rPr>
        <w:t xml:space="preserve">della </w:t>
      </w:r>
      <w:r w:rsidRPr="00913097">
        <w:rPr>
          <w:rFonts w:ascii="Impact" w:hAnsi="Impact"/>
          <w:spacing w:val="-8"/>
          <w:sz w:val="27"/>
          <w:szCs w:val="27"/>
        </w:rPr>
        <w:t xml:space="preserve">Giustizia che svolgerà il </w:t>
      </w:r>
      <w:r>
        <w:rPr>
          <w:rFonts w:ascii="Impact" w:hAnsi="Impact"/>
          <w:spacing w:val="-8"/>
          <w:sz w:val="27"/>
          <w:szCs w:val="27"/>
        </w:rPr>
        <w:t xml:space="preserve">nuovo </w:t>
      </w:r>
      <w:r w:rsidRPr="00913097">
        <w:rPr>
          <w:rFonts w:ascii="Impact" w:hAnsi="Impact"/>
          <w:spacing w:val="-8"/>
          <w:sz w:val="27"/>
          <w:szCs w:val="27"/>
        </w:rPr>
        <w:t>servizio</w:t>
      </w:r>
      <w:r w:rsidRPr="00913097">
        <w:rPr>
          <w:rFonts w:ascii="Impact" w:hAnsi="Impact"/>
          <w:sz w:val="27"/>
          <w:szCs w:val="27"/>
          <w:lang w:bidi="ar-SA"/>
        </w:rPr>
        <w:t xml:space="preserve"> finalizzato a risolvere le controversie fuori dal Tribunale, mediante il raggiungimento di un accordo tra le parti.</w:t>
      </w:r>
    </w:p>
    <w:p w:rsidR="00BF289E" w:rsidRPr="00BF289E" w:rsidRDefault="00BF289E" w:rsidP="00BF289E">
      <w:pPr>
        <w:pStyle w:val="Corpotesto"/>
        <w:spacing w:before="200" w:after="200" w:line="0" w:lineRule="atLeast"/>
        <w:ind w:firstLine="425"/>
        <w:jc w:val="both"/>
        <w:rPr>
          <w:rFonts w:ascii="Franklin Gothic Book" w:hAnsi="Franklin Gothic Book"/>
          <w:sz w:val="30"/>
          <w:szCs w:val="30"/>
        </w:rPr>
      </w:pPr>
      <w:r w:rsidRPr="00BF289E">
        <w:rPr>
          <w:rFonts w:ascii="Franklin Gothic Book" w:hAnsi="Franklin Gothic Book"/>
          <w:sz w:val="30"/>
          <w:szCs w:val="30"/>
        </w:rPr>
        <w:t xml:space="preserve">Con deliberazione n. 195 del 04/12/2018 la Giunta Municipale di Cori ha approvato gli indirizzi per l’istituzione dello </w:t>
      </w:r>
      <w:r w:rsidRPr="00BF289E">
        <w:rPr>
          <w:rFonts w:ascii="Franklin Gothic Book" w:hAnsi="Franklin Gothic Book"/>
          <w:b/>
          <w:sz w:val="30"/>
          <w:szCs w:val="30"/>
        </w:rPr>
        <w:t>Sportello di Mediazione civile e commerciale</w:t>
      </w:r>
      <w:r w:rsidRPr="00BF289E">
        <w:rPr>
          <w:rFonts w:ascii="Franklin Gothic Book" w:hAnsi="Franklin Gothic Book"/>
          <w:sz w:val="30"/>
          <w:szCs w:val="30"/>
        </w:rPr>
        <w:t xml:space="preserve"> presso il Comune di Cori, secondo la normativa nazionale ed europea: la Legge 9 agosto 2013 n. 98, di conversione del Decreto Legge 21 giugno 2013 n. 69, prevede forme di mediazione prima di adire l’autorità giudiziaria; la Direttiva Europea 2013/11/UE ha invece introdotto norme e procedure alternative per la definizione delle controversie (Alternative Dispute </w:t>
      </w:r>
      <w:proofErr w:type="spellStart"/>
      <w:r w:rsidRPr="00BF289E">
        <w:rPr>
          <w:rFonts w:ascii="Franklin Gothic Book" w:hAnsi="Franklin Gothic Book"/>
          <w:sz w:val="30"/>
          <w:szCs w:val="30"/>
        </w:rPr>
        <w:t>Resolution</w:t>
      </w:r>
      <w:proofErr w:type="spellEnd"/>
      <w:r w:rsidRPr="00BF289E">
        <w:rPr>
          <w:rFonts w:ascii="Franklin Gothic Book" w:hAnsi="Franklin Gothic Book"/>
          <w:sz w:val="30"/>
          <w:szCs w:val="30"/>
        </w:rPr>
        <w:t>) tra consumatori, professionisti e imprese commerciali dei Paesi dell’Unione.</w:t>
      </w:r>
    </w:p>
    <w:p w:rsidR="00BF289E" w:rsidRPr="00BF289E" w:rsidRDefault="00BF289E" w:rsidP="00BF289E">
      <w:pPr>
        <w:pStyle w:val="Corpotesto"/>
        <w:spacing w:before="200" w:after="200" w:line="0" w:lineRule="atLeast"/>
        <w:ind w:firstLine="425"/>
        <w:jc w:val="both"/>
        <w:rPr>
          <w:rFonts w:ascii="Franklin Gothic Book" w:hAnsi="Franklin Gothic Book"/>
          <w:spacing w:val="-7"/>
          <w:sz w:val="30"/>
          <w:szCs w:val="30"/>
        </w:rPr>
      </w:pPr>
      <w:r w:rsidRPr="00BF289E">
        <w:rPr>
          <w:rFonts w:ascii="Franklin Gothic Book" w:hAnsi="Franklin Gothic Book"/>
          <w:sz w:val="30"/>
          <w:szCs w:val="30"/>
        </w:rPr>
        <w:t xml:space="preserve">Il primo </w:t>
      </w:r>
      <w:proofErr w:type="spellStart"/>
      <w:r w:rsidRPr="00BF289E">
        <w:rPr>
          <w:rFonts w:ascii="Franklin Gothic Book" w:hAnsi="Franklin Gothic Book"/>
          <w:sz w:val="30"/>
          <w:szCs w:val="30"/>
        </w:rPr>
        <w:t>step</w:t>
      </w:r>
      <w:proofErr w:type="spellEnd"/>
      <w:r w:rsidRPr="00BF289E">
        <w:rPr>
          <w:rFonts w:ascii="Franklin Gothic Book" w:hAnsi="Franklin Gothic Book"/>
          <w:sz w:val="30"/>
          <w:szCs w:val="30"/>
        </w:rPr>
        <w:t xml:space="preserve"> consisterà nell’indizione di </w:t>
      </w:r>
      <w:r w:rsidRPr="00BF289E">
        <w:rPr>
          <w:rFonts w:ascii="Franklin Gothic Book" w:hAnsi="Franklin Gothic Book"/>
          <w:spacing w:val="-3"/>
          <w:sz w:val="30"/>
          <w:szCs w:val="30"/>
        </w:rPr>
        <w:t xml:space="preserve">un </w:t>
      </w:r>
      <w:r w:rsidRPr="00BF289E">
        <w:rPr>
          <w:rFonts w:ascii="Franklin Gothic Book" w:hAnsi="Franklin Gothic Book"/>
          <w:spacing w:val="-7"/>
          <w:sz w:val="30"/>
          <w:szCs w:val="30"/>
        </w:rPr>
        <w:t xml:space="preserve">bando pubblico </w:t>
      </w:r>
      <w:r w:rsidRPr="00BF289E">
        <w:rPr>
          <w:rFonts w:ascii="Franklin Gothic Book" w:hAnsi="Franklin Gothic Book"/>
          <w:spacing w:val="-6"/>
          <w:sz w:val="30"/>
          <w:szCs w:val="30"/>
        </w:rPr>
        <w:t xml:space="preserve">per </w:t>
      </w:r>
      <w:r w:rsidRPr="00BF289E">
        <w:rPr>
          <w:rFonts w:ascii="Franklin Gothic Book" w:hAnsi="Franklin Gothic Book"/>
          <w:spacing w:val="-5"/>
          <w:sz w:val="30"/>
          <w:szCs w:val="30"/>
        </w:rPr>
        <w:t xml:space="preserve">l’individuazione di </w:t>
      </w:r>
      <w:r w:rsidRPr="00BF289E">
        <w:rPr>
          <w:rFonts w:ascii="Franklin Gothic Book" w:hAnsi="Franklin Gothic Book"/>
          <w:spacing w:val="-3"/>
          <w:sz w:val="30"/>
          <w:szCs w:val="30"/>
        </w:rPr>
        <w:t xml:space="preserve">un </w:t>
      </w:r>
      <w:r w:rsidRPr="00BF289E">
        <w:rPr>
          <w:rFonts w:ascii="Franklin Gothic Book" w:hAnsi="Franklin Gothic Book"/>
          <w:b/>
          <w:spacing w:val="-10"/>
          <w:sz w:val="30"/>
          <w:szCs w:val="30"/>
        </w:rPr>
        <w:t xml:space="preserve">Organismo </w:t>
      </w:r>
      <w:r w:rsidRPr="00BF289E">
        <w:rPr>
          <w:rFonts w:ascii="Franklin Gothic Book" w:hAnsi="Franklin Gothic Book"/>
          <w:b/>
          <w:spacing w:val="-3"/>
          <w:sz w:val="30"/>
          <w:szCs w:val="30"/>
        </w:rPr>
        <w:t xml:space="preserve">di </w:t>
      </w:r>
      <w:r w:rsidRPr="00BF289E">
        <w:rPr>
          <w:rFonts w:ascii="Franklin Gothic Book" w:hAnsi="Franklin Gothic Book"/>
          <w:b/>
          <w:spacing w:val="-7"/>
          <w:sz w:val="30"/>
          <w:szCs w:val="30"/>
        </w:rPr>
        <w:t xml:space="preserve">Mediazione </w:t>
      </w:r>
      <w:r w:rsidRPr="00BF289E">
        <w:rPr>
          <w:rFonts w:ascii="Franklin Gothic Book" w:hAnsi="Franklin Gothic Book"/>
          <w:b/>
          <w:spacing w:val="-5"/>
          <w:sz w:val="30"/>
          <w:szCs w:val="30"/>
        </w:rPr>
        <w:t xml:space="preserve">accreditato </w:t>
      </w:r>
      <w:r w:rsidRPr="00BF289E">
        <w:rPr>
          <w:rFonts w:ascii="Franklin Gothic Book" w:hAnsi="Franklin Gothic Book"/>
          <w:b/>
          <w:spacing w:val="-10"/>
          <w:sz w:val="30"/>
          <w:szCs w:val="30"/>
        </w:rPr>
        <w:t xml:space="preserve">presso </w:t>
      </w:r>
      <w:r w:rsidRPr="00BF289E">
        <w:rPr>
          <w:rFonts w:ascii="Franklin Gothic Book" w:hAnsi="Franklin Gothic Book"/>
          <w:b/>
          <w:sz w:val="30"/>
          <w:szCs w:val="30"/>
        </w:rPr>
        <w:t xml:space="preserve">il </w:t>
      </w:r>
      <w:r w:rsidRPr="00BF289E">
        <w:rPr>
          <w:rFonts w:ascii="Franklin Gothic Book" w:hAnsi="Franklin Gothic Book"/>
          <w:b/>
          <w:spacing w:val="-3"/>
          <w:sz w:val="30"/>
          <w:szCs w:val="30"/>
        </w:rPr>
        <w:t xml:space="preserve">Ministero </w:t>
      </w:r>
      <w:r w:rsidRPr="00BF289E">
        <w:rPr>
          <w:rFonts w:ascii="Franklin Gothic Book" w:hAnsi="Franklin Gothic Book"/>
          <w:b/>
          <w:spacing w:val="-4"/>
          <w:sz w:val="30"/>
          <w:szCs w:val="30"/>
        </w:rPr>
        <w:t xml:space="preserve">della </w:t>
      </w:r>
      <w:r w:rsidRPr="00BF289E">
        <w:rPr>
          <w:rFonts w:ascii="Franklin Gothic Book" w:hAnsi="Franklin Gothic Book"/>
          <w:b/>
          <w:spacing w:val="-8"/>
          <w:sz w:val="30"/>
          <w:szCs w:val="30"/>
        </w:rPr>
        <w:t>Giustizia</w:t>
      </w:r>
      <w:r w:rsidRPr="00BF289E">
        <w:rPr>
          <w:rFonts w:ascii="Franklin Gothic Book" w:hAnsi="Franklin Gothic Book"/>
          <w:spacing w:val="-8"/>
          <w:sz w:val="30"/>
          <w:szCs w:val="30"/>
        </w:rPr>
        <w:t xml:space="preserve"> </w:t>
      </w:r>
      <w:r w:rsidRPr="00BF289E">
        <w:rPr>
          <w:rFonts w:ascii="Franklin Gothic Book" w:hAnsi="Franklin Gothic Book"/>
          <w:spacing w:val="-14"/>
          <w:sz w:val="30"/>
          <w:szCs w:val="30"/>
        </w:rPr>
        <w:t>(</w:t>
      </w:r>
      <w:proofErr w:type="spellStart"/>
      <w:r w:rsidRPr="00BF289E">
        <w:rPr>
          <w:rFonts w:ascii="Franklin Gothic Book" w:hAnsi="Franklin Gothic Book"/>
          <w:spacing w:val="-14"/>
          <w:sz w:val="30"/>
          <w:szCs w:val="30"/>
        </w:rPr>
        <w:t>D.Lgs.</w:t>
      </w:r>
      <w:proofErr w:type="spellEnd"/>
      <w:r w:rsidRPr="00BF289E">
        <w:rPr>
          <w:rFonts w:ascii="Franklin Gothic Book" w:hAnsi="Franklin Gothic Book"/>
          <w:spacing w:val="-14"/>
          <w:sz w:val="30"/>
          <w:szCs w:val="30"/>
        </w:rPr>
        <w:t xml:space="preserve"> </w:t>
      </w:r>
      <w:r w:rsidRPr="00BF289E">
        <w:rPr>
          <w:rFonts w:ascii="Franklin Gothic Book" w:hAnsi="Franklin Gothic Book"/>
          <w:spacing w:val="-3"/>
          <w:sz w:val="30"/>
          <w:szCs w:val="30"/>
        </w:rPr>
        <w:t xml:space="preserve">n. </w:t>
      </w:r>
      <w:r w:rsidRPr="00BF289E">
        <w:rPr>
          <w:rFonts w:ascii="Franklin Gothic Book" w:hAnsi="Franklin Gothic Book"/>
          <w:spacing w:val="-6"/>
          <w:sz w:val="30"/>
          <w:szCs w:val="30"/>
        </w:rPr>
        <w:t>28/</w:t>
      </w:r>
      <w:r w:rsidRPr="00BF289E">
        <w:rPr>
          <w:rFonts w:ascii="Franklin Gothic Book" w:hAnsi="Franklin Gothic Book"/>
          <w:spacing w:val="-8"/>
          <w:sz w:val="30"/>
          <w:szCs w:val="30"/>
        </w:rPr>
        <w:t xml:space="preserve">2010 </w:t>
      </w:r>
      <w:r w:rsidRPr="00BF289E">
        <w:rPr>
          <w:rFonts w:ascii="Franklin Gothic Book" w:hAnsi="Franklin Gothic Book"/>
          <w:sz w:val="30"/>
          <w:szCs w:val="30"/>
        </w:rPr>
        <w:t xml:space="preserve">e </w:t>
      </w:r>
      <w:r w:rsidRPr="00BF289E">
        <w:rPr>
          <w:rFonts w:ascii="Franklin Gothic Book" w:hAnsi="Franklin Gothic Book"/>
          <w:spacing w:val="-6"/>
          <w:sz w:val="30"/>
          <w:szCs w:val="30"/>
        </w:rPr>
        <w:t xml:space="preserve">D.M. </w:t>
      </w:r>
      <w:r w:rsidRPr="00BF289E">
        <w:rPr>
          <w:rFonts w:ascii="Franklin Gothic Book" w:hAnsi="Franklin Gothic Book"/>
          <w:spacing w:val="-3"/>
          <w:sz w:val="30"/>
          <w:szCs w:val="30"/>
        </w:rPr>
        <w:t xml:space="preserve">n. </w:t>
      </w:r>
      <w:r w:rsidRPr="00BF289E">
        <w:rPr>
          <w:rFonts w:ascii="Franklin Gothic Book" w:hAnsi="Franklin Gothic Book"/>
          <w:spacing w:val="-8"/>
          <w:sz w:val="30"/>
          <w:szCs w:val="30"/>
        </w:rPr>
        <w:t xml:space="preserve">180/2010, </w:t>
      </w:r>
      <w:r w:rsidRPr="00BF289E">
        <w:rPr>
          <w:rFonts w:ascii="Franklin Gothic Book" w:hAnsi="Franklin Gothic Book"/>
          <w:spacing w:val="-7"/>
          <w:sz w:val="30"/>
          <w:szCs w:val="30"/>
        </w:rPr>
        <w:t xml:space="preserve">come </w:t>
      </w:r>
      <w:r w:rsidRPr="00BF289E">
        <w:rPr>
          <w:rFonts w:ascii="Franklin Gothic Book" w:hAnsi="Franklin Gothic Book"/>
          <w:spacing w:val="-5"/>
          <w:sz w:val="30"/>
          <w:szCs w:val="30"/>
        </w:rPr>
        <w:t xml:space="preserve">previsto </w:t>
      </w:r>
      <w:r w:rsidRPr="00BF289E">
        <w:rPr>
          <w:rFonts w:ascii="Franklin Gothic Book" w:hAnsi="Franklin Gothic Book"/>
          <w:spacing w:val="-4"/>
          <w:sz w:val="30"/>
          <w:szCs w:val="30"/>
        </w:rPr>
        <w:t xml:space="preserve">dalla </w:t>
      </w:r>
      <w:r w:rsidRPr="00BF289E">
        <w:rPr>
          <w:rFonts w:ascii="Franklin Gothic Book" w:hAnsi="Franklin Gothic Book"/>
          <w:spacing w:val="-8"/>
          <w:sz w:val="30"/>
          <w:szCs w:val="30"/>
        </w:rPr>
        <w:t xml:space="preserve">Circolare </w:t>
      </w:r>
      <w:r w:rsidRPr="00BF289E">
        <w:rPr>
          <w:rFonts w:ascii="Franklin Gothic Book" w:hAnsi="Franklin Gothic Book"/>
          <w:spacing w:val="-7"/>
          <w:sz w:val="30"/>
          <w:szCs w:val="30"/>
        </w:rPr>
        <w:t xml:space="preserve">del </w:t>
      </w:r>
      <w:r w:rsidRPr="00BF289E">
        <w:rPr>
          <w:rFonts w:ascii="Franklin Gothic Book" w:hAnsi="Franklin Gothic Book"/>
          <w:spacing w:val="-3"/>
          <w:sz w:val="30"/>
          <w:szCs w:val="30"/>
        </w:rPr>
        <w:t xml:space="preserve">Ministero della </w:t>
      </w:r>
      <w:r w:rsidRPr="00BF289E">
        <w:rPr>
          <w:rFonts w:ascii="Franklin Gothic Book" w:hAnsi="Franklin Gothic Book"/>
          <w:spacing w:val="-8"/>
          <w:sz w:val="30"/>
          <w:szCs w:val="30"/>
        </w:rPr>
        <w:t xml:space="preserve">Giustizia </w:t>
      </w:r>
      <w:r w:rsidRPr="00BF289E">
        <w:rPr>
          <w:rFonts w:ascii="Franklin Gothic Book" w:hAnsi="Franklin Gothic Book"/>
          <w:spacing w:val="-3"/>
          <w:sz w:val="30"/>
          <w:szCs w:val="30"/>
        </w:rPr>
        <w:t xml:space="preserve">n. </w:t>
      </w:r>
      <w:r w:rsidRPr="00BF289E">
        <w:rPr>
          <w:rFonts w:ascii="Franklin Gothic Book" w:hAnsi="Franklin Gothic Book"/>
          <w:spacing w:val="-5"/>
          <w:sz w:val="30"/>
          <w:szCs w:val="30"/>
        </w:rPr>
        <w:t>9/</w:t>
      </w:r>
      <w:r w:rsidRPr="00BF289E">
        <w:rPr>
          <w:rFonts w:ascii="Franklin Gothic Book" w:hAnsi="Franklin Gothic Book"/>
          <w:spacing w:val="-8"/>
          <w:sz w:val="30"/>
          <w:szCs w:val="30"/>
        </w:rPr>
        <w:t xml:space="preserve">2012.) </w:t>
      </w:r>
      <w:r w:rsidRPr="00BF289E">
        <w:rPr>
          <w:rFonts w:ascii="Franklin Gothic Book" w:hAnsi="Franklin Gothic Book"/>
          <w:spacing w:val="-7"/>
          <w:sz w:val="30"/>
          <w:szCs w:val="30"/>
        </w:rPr>
        <w:t xml:space="preserve">che </w:t>
      </w:r>
      <w:r w:rsidRPr="00BF289E">
        <w:rPr>
          <w:rFonts w:ascii="Franklin Gothic Book" w:hAnsi="Franklin Gothic Book"/>
          <w:spacing w:val="-9"/>
          <w:sz w:val="30"/>
          <w:szCs w:val="30"/>
        </w:rPr>
        <w:t xml:space="preserve">svolga </w:t>
      </w:r>
      <w:r w:rsidRPr="00BF289E">
        <w:rPr>
          <w:rFonts w:ascii="Franklin Gothic Book" w:hAnsi="Franklin Gothic Book"/>
          <w:sz w:val="30"/>
          <w:szCs w:val="30"/>
        </w:rPr>
        <w:t xml:space="preserve">tale </w:t>
      </w:r>
      <w:r w:rsidRPr="00BF289E">
        <w:rPr>
          <w:rFonts w:ascii="Franklin Gothic Book" w:hAnsi="Franklin Gothic Book"/>
          <w:spacing w:val="-8"/>
          <w:sz w:val="30"/>
          <w:szCs w:val="30"/>
        </w:rPr>
        <w:t xml:space="preserve">servizio </w:t>
      </w:r>
      <w:r w:rsidRPr="00BF289E">
        <w:rPr>
          <w:rFonts w:ascii="Franklin Gothic Book" w:hAnsi="Franklin Gothic Book"/>
          <w:sz w:val="30"/>
          <w:szCs w:val="30"/>
          <w:lang w:bidi="ar-SA"/>
        </w:rPr>
        <w:t>finalizzato a risolvere le controversie fuori dal Tribunale, mediante il raggiungimento di un accordo tra le parti</w:t>
      </w:r>
      <w:r w:rsidRPr="00BF289E">
        <w:rPr>
          <w:rFonts w:ascii="Franklin Gothic Book" w:hAnsi="Franklin Gothic Book"/>
          <w:spacing w:val="-2"/>
          <w:sz w:val="30"/>
          <w:szCs w:val="30"/>
        </w:rPr>
        <w:t xml:space="preserve">. L’apertura </w:t>
      </w:r>
      <w:r w:rsidRPr="00BF289E">
        <w:rPr>
          <w:rFonts w:ascii="Franklin Gothic Book" w:hAnsi="Franklin Gothic Book"/>
          <w:spacing w:val="-7"/>
          <w:sz w:val="30"/>
          <w:szCs w:val="30"/>
        </w:rPr>
        <w:t xml:space="preserve">dello </w:t>
      </w:r>
      <w:r w:rsidRPr="00BF289E">
        <w:rPr>
          <w:rFonts w:ascii="Franklin Gothic Book" w:hAnsi="Franklin Gothic Book"/>
          <w:spacing w:val="-6"/>
          <w:sz w:val="30"/>
          <w:szCs w:val="30"/>
        </w:rPr>
        <w:t xml:space="preserve">Sportello inoltre </w:t>
      </w:r>
      <w:r w:rsidRPr="00BF289E">
        <w:rPr>
          <w:rFonts w:ascii="Franklin Gothic Book" w:hAnsi="Franklin Gothic Book"/>
          <w:spacing w:val="-4"/>
          <w:sz w:val="30"/>
          <w:szCs w:val="30"/>
        </w:rPr>
        <w:t xml:space="preserve">non comporterà </w:t>
      </w:r>
      <w:r w:rsidRPr="00BF289E">
        <w:rPr>
          <w:rFonts w:ascii="Franklin Gothic Book" w:hAnsi="Franklin Gothic Book"/>
          <w:spacing w:val="-13"/>
          <w:sz w:val="30"/>
          <w:szCs w:val="30"/>
        </w:rPr>
        <w:t xml:space="preserve">spese </w:t>
      </w:r>
      <w:r w:rsidRPr="00BF289E">
        <w:rPr>
          <w:rFonts w:ascii="Franklin Gothic Book" w:hAnsi="Franklin Gothic Book"/>
          <w:spacing w:val="-5"/>
          <w:sz w:val="30"/>
          <w:szCs w:val="30"/>
        </w:rPr>
        <w:t xml:space="preserve">vive </w:t>
      </w:r>
      <w:r w:rsidRPr="00BF289E">
        <w:rPr>
          <w:rFonts w:ascii="Franklin Gothic Book" w:hAnsi="Franklin Gothic Book"/>
          <w:sz w:val="30"/>
          <w:szCs w:val="30"/>
        </w:rPr>
        <w:t xml:space="preserve">a </w:t>
      </w:r>
      <w:r w:rsidRPr="00BF289E">
        <w:rPr>
          <w:rFonts w:ascii="Franklin Gothic Book" w:hAnsi="Franklin Gothic Book"/>
          <w:spacing w:val="-8"/>
          <w:sz w:val="30"/>
          <w:szCs w:val="30"/>
        </w:rPr>
        <w:t xml:space="preserve">carico </w:t>
      </w:r>
      <w:r w:rsidRPr="00BF289E">
        <w:rPr>
          <w:rFonts w:ascii="Franklin Gothic Book" w:hAnsi="Franklin Gothic Book"/>
          <w:spacing w:val="-6"/>
          <w:sz w:val="30"/>
          <w:szCs w:val="30"/>
        </w:rPr>
        <w:t xml:space="preserve">dell’Ente, </w:t>
      </w:r>
      <w:r w:rsidRPr="00BF289E">
        <w:rPr>
          <w:rFonts w:ascii="Franklin Gothic Book" w:hAnsi="Franklin Gothic Book"/>
          <w:sz w:val="30"/>
          <w:szCs w:val="30"/>
        </w:rPr>
        <w:t xml:space="preserve">il quale metterà a </w:t>
      </w:r>
      <w:r w:rsidRPr="00BF289E">
        <w:rPr>
          <w:rFonts w:ascii="Franklin Gothic Book" w:hAnsi="Franklin Gothic Book"/>
          <w:spacing w:val="-8"/>
          <w:sz w:val="30"/>
          <w:szCs w:val="30"/>
        </w:rPr>
        <w:t xml:space="preserve">disposizione una stanza di sua proprietà </w:t>
      </w:r>
      <w:r w:rsidRPr="00BF289E">
        <w:rPr>
          <w:rFonts w:ascii="Franklin Gothic Book" w:hAnsi="Franklin Gothic Book"/>
          <w:sz w:val="30"/>
          <w:szCs w:val="30"/>
        </w:rPr>
        <w:t xml:space="preserve">in </w:t>
      </w:r>
      <w:r w:rsidRPr="00BF289E">
        <w:rPr>
          <w:rFonts w:ascii="Franklin Gothic Book" w:hAnsi="Franklin Gothic Book"/>
          <w:spacing w:val="-6"/>
          <w:sz w:val="30"/>
          <w:szCs w:val="30"/>
        </w:rPr>
        <w:t xml:space="preserve">comodato d’uso </w:t>
      </w:r>
      <w:r w:rsidRPr="00BF289E">
        <w:rPr>
          <w:rFonts w:ascii="Franklin Gothic Book" w:hAnsi="Franklin Gothic Book"/>
          <w:spacing w:val="-3"/>
          <w:sz w:val="30"/>
          <w:szCs w:val="30"/>
        </w:rPr>
        <w:t xml:space="preserve">gratuito </w:t>
      </w:r>
      <w:r w:rsidRPr="00BF289E">
        <w:rPr>
          <w:rFonts w:ascii="Franklin Gothic Book" w:hAnsi="Franklin Gothic Book"/>
          <w:spacing w:val="-8"/>
          <w:sz w:val="30"/>
          <w:szCs w:val="30"/>
        </w:rPr>
        <w:t>all’Organismo</w:t>
      </w:r>
      <w:r w:rsidRPr="00BF289E">
        <w:rPr>
          <w:rFonts w:ascii="Franklin Gothic Book" w:hAnsi="Franklin Gothic Book"/>
          <w:spacing w:val="-15"/>
          <w:sz w:val="30"/>
          <w:szCs w:val="30"/>
        </w:rPr>
        <w:t xml:space="preserve"> </w:t>
      </w:r>
      <w:r w:rsidRPr="00BF289E">
        <w:rPr>
          <w:rFonts w:ascii="Franklin Gothic Book" w:hAnsi="Franklin Gothic Book"/>
          <w:spacing w:val="-3"/>
          <w:sz w:val="30"/>
          <w:szCs w:val="30"/>
        </w:rPr>
        <w:t>di</w:t>
      </w:r>
      <w:r w:rsidRPr="00BF289E">
        <w:rPr>
          <w:rFonts w:ascii="Franklin Gothic Book" w:hAnsi="Franklin Gothic Book"/>
          <w:spacing w:val="-9"/>
          <w:sz w:val="30"/>
          <w:szCs w:val="30"/>
        </w:rPr>
        <w:t xml:space="preserve"> </w:t>
      </w:r>
      <w:r w:rsidRPr="00BF289E">
        <w:rPr>
          <w:rFonts w:ascii="Franklin Gothic Book" w:hAnsi="Franklin Gothic Book"/>
          <w:spacing w:val="-8"/>
          <w:sz w:val="30"/>
          <w:szCs w:val="30"/>
        </w:rPr>
        <w:t>Mediazione</w:t>
      </w:r>
      <w:r w:rsidRPr="00BF289E">
        <w:rPr>
          <w:rFonts w:ascii="Franklin Gothic Book" w:hAnsi="Franklin Gothic Book"/>
          <w:spacing w:val="-20"/>
          <w:sz w:val="30"/>
          <w:szCs w:val="30"/>
        </w:rPr>
        <w:t xml:space="preserve"> </w:t>
      </w:r>
      <w:r w:rsidRPr="00BF289E">
        <w:rPr>
          <w:rFonts w:ascii="Franklin Gothic Book" w:hAnsi="Franklin Gothic Book"/>
          <w:spacing w:val="-3"/>
          <w:sz w:val="30"/>
          <w:szCs w:val="30"/>
        </w:rPr>
        <w:t>vincitore</w:t>
      </w:r>
      <w:r w:rsidRPr="00BF289E">
        <w:rPr>
          <w:rFonts w:ascii="Franklin Gothic Book" w:hAnsi="Franklin Gothic Book"/>
          <w:spacing w:val="-7"/>
          <w:sz w:val="30"/>
          <w:szCs w:val="30"/>
        </w:rPr>
        <w:t xml:space="preserve"> della gara.</w:t>
      </w:r>
    </w:p>
    <w:p w:rsidR="00CC4B07" w:rsidRPr="00BF289E" w:rsidRDefault="00BF289E" w:rsidP="00BF289E">
      <w:pPr>
        <w:pStyle w:val="Corpotesto"/>
        <w:spacing w:before="200" w:after="200" w:line="0" w:lineRule="atLeast"/>
        <w:ind w:firstLine="425"/>
        <w:jc w:val="both"/>
        <w:rPr>
          <w:rFonts w:ascii="Franklin Gothic Book" w:hAnsi="Franklin Gothic Book"/>
          <w:sz w:val="30"/>
          <w:szCs w:val="30"/>
          <w:lang w:bidi="ar-SA"/>
        </w:rPr>
      </w:pPr>
      <w:r w:rsidRPr="00BF289E">
        <w:rPr>
          <w:rFonts w:ascii="Franklin Gothic Book" w:hAnsi="Franklin Gothic Book"/>
          <w:sz w:val="30"/>
          <w:szCs w:val="30"/>
        </w:rPr>
        <w:t xml:space="preserve">La </w:t>
      </w:r>
      <w:r w:rsidRPr="00BF289E">
        <w:rPr>
          <w:rFonts w:ascii="Franklin Gothic Book" w:hAnsi="Franklin Gothic Book"/>
          <w:b/>
          <w:sz w:val="30"/>
          <w:szCs w:val="30"/>
        </w:rPr>
        <w:t>mediazione</w:t>
      </w:r>
      <w:r w:rsidRPr="00BF289E">
        <w:rPr>
          <w:rFonts w:ascii="Franklin Gothic Book" w:hAnsi="Franklin Gothic Book"/>
          <w:sz w:val="30"/>
          <w:szCs w:val="30"/>
        </w:rPr>
        <w:t xml:space="preserve"> è il modo più semplice, rapido ed economico per risolvere le controversie, con l’aiuto del </w:t>
      </w:r>
      <w:r w:rsidRPr="00BF289E">
        <w:rPr>
          <w:rFonts w:ascii="Franklin Gothic Book" w:hAnsi="Franklin Gothic Book"/>
          <w:b/>
          <w:sz w:val="30"/>
          <w:szCs w:val="30"/>
        </w:rPr>
        <w:t>mediatore</w:t>
      </w:r>
      <w:r w:rsidRPr="00BF289E">
        <w:rPr>
          <w:rFonts w:ascii="Franklin Gothic Book" w:hAnsi="Franklin Gothic Book"/>
          <w:sz w:val="30"/>
          <w:szCs w:val="30"/>
        </w:rPr>
        <w:t xml:space="preserve">, figura super </w:t>
      </w:r>
      <w:proofErr w:type="spellStart"/>
      <w:r w:rsidRPr="00BF289E">
        <w:rPr>
          <w:rFonts w:ascii="Franklin Gothic Book" w:hAnsi="Franklin Gothic Book"/>
          <w:sz w:val="30"/>
          <w:szCs w:val="30"/>
        </w:rPr>
        <w:t>partes</w:t>
      </w:r>
      <w:proofErr w:type="spellEnd"/>
      <w:r w:rsidRPr="00BF289E">
        <w:rPr>
          <w:rFonts w:ascii="Franklin Gothic Book" w:hAnsi="Franklin Gothic Book"/>
          <w:sz w:val="30"/>
          <w:szCs w:val="30"/>
        </w:rPr>
        <w:t xml:space="preserve"> col compito di facilitare il dialogo e condurre il contenzioso a una soluzione amichevole, soddisfacente e condivisa. Nessuna decisione viene imposta: se la mediazione va a buon fine le parti sottoscrivono un accordo, altrimenti possono in qualsiasi momento rivolgersi al giudice ordinario.</w:t>
      </w:r>
      <w:r w:rsidRPr="00BF289E">
        <w:rPr>
          <w:rFonts w:ascii="Franklin Gothic Book" w:hAnsi="Franklin Gothic Book"/>
          <w:spacing w:val="-7"/>
          <w:sz w:val="30"/>
          <w:szCs w:val="30"/>
        </w:rPr>
        <w:t xml:space="preserve"> </w:t>
      </w:r>
      <w:r w:rsidRPr="00BF289E">
        <w:rPr>
          <w:rFonts w:ascii="Franklin Gothic Book" w:hAnsi="Franklin Gothic Book"/>
          <w:sz w:val="30"/>
          <w:szCs w:val="30"/>
          <w:lang w:bidi="ar-SA"/>
        </w:rPr>
        <w:t xml:space="preserve">Lo Sportello, nel rispetto delle disposizioni ministeriali, sarà un </w:t>
      </w:r>
      <w:r w:rsidRPr="00BF289E">
        <w:rPr>
          <w:rFonts w:ascii="Franklin Gothic Book" w:hAnsi="Franklin Gothic Book"/>
          <w:b/>
          <w:sz w:val="30"/>
          <w:szCs w:val="30"/>
          <w:lang w:bidi="ar-SA"/>
        </w:rPr>
        <w:t>punto informativo e di</w:t>
      </w:r>
      <w:r>
        <w:rPr>
          <w:rFonts w:ascii="Franklin Gothic Book" w:hAnsi="Franklin Gothic Book"/>
          <w:b/>
          <w:sz w:val="30"/>
          <w:szCs w:val="30"/>
          <w:lang w:bidi="ar-SA"/>
        </w:rPr>
        <w:t xml:space="preserve"> </w:t>
      </w:r>
      <w:r w:rsidRPr="00BF289E">
        <w:rPr>
          <w:rFonts w:ascii="Franklin Gothic Book" w:hAnsi="Franklin Gothic Book"/>
          <w:b/>
          <w:sz w:val="30"/>
          <w:szCs w:val="30"/>
          <w:lang w:bidi="ar-SA"/>
        </w:rPr>
        <w:t>orientamento</w:t>
      </w:r>
      <w:r w:rsidRPr="00BF289E">
        <w:rPr>
          <w:rFonts w:ascii="Franklin Gothic Book" w:hAnsi="Franklin Gothic Book"/>
          <w:sz w:val="30"/>
          <w:szCs w:val="30"/>
          <w:lang w:bidi="ar-SA"/>
        </w:rPr>
        <w:t xml:space="preserve"> sui casi di mediazione obbligatoria, facoltativa, demandata dal giudice; </w:t>
      </w:r>
      <w:r w:rsidRPr="00BF289E">
        <w:rPr>
          <w:rFonts w:ascii="Franklin Gothic Book" w:hAnsi="Franklin Gothic Book"/>
          <w:b/>
          <w:sz w:val="30"/>
          <w:szCs w:val="30"/>
          <w:lang w:bidi="ar-SA"/>
        </w:rPr>
        <w:t xml:space="preserve">e </w:t>
      </w:r>
      <w:r w:rsidRPr="00BF289E">
        <w:rPr>
          <w:rFonts w:ascii="Franklin Gothic Book" w:hAnsi="Franklin Gothic Book"/>
          <w:b/>
          <w:sz w:val="30"/>
          <w:szCs w:val="30"/>
          <w:lang w:bidi="ar-SA"/>
        </w:rPr>
        <w:t xml:space="preserve">di </w:t>
      </w:r>
      <w:r w:rsidRPr="00BF289E">
        <w:rPr>
          <w:rFonts w:ascii="Franklin Gothic Book" w:hAnsi="Franklin Gothic Book"/>
          <w:b/>
          <w:sz w:val="30"/>
          <w:szCs w:val="30"/>
          <w:lang w:bidi="ar-SA"/>
        </w:rPr>
        <w:t>consulenza</w:t>
      </w:r>
      <w:r w:rsidRPr="00BF289E">
        <w:rPr>
          <w:rFonts w:ascii="Franklin Gothic Book" w:hAnsi="Franklin Gothic Book"/>
          <w:sz w:val="30"/>
          <w:szCs w:val="30"/>
          <w:lang w:bidi="ar-SA"/>
        </w:rPr>
        <w:t xml:space="preserve"> prima di un eventuale procedimento. </w:t>
      </w:r>
      <w:bookmarkEnd w:id="0"/>
    </w:p>
    <w:sectPr w:rsidR="00CC4B07" w:rsidRPr="00BF289E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683888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2-13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BF289E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13 dicembre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683888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721EA"/>
    <w:rsid w:val="003802F1"/>
    <w:rsid w:val="0039061F"/>
    <w:rsid w:val="003C6E59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83888"/>
    <w:rsid w:val="006B16D2"/>
    <w:rsid w:val="006C5175"/>
    <w:rsid w:val="006C757C"/>
    <w:rsid w:val="006D3B71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A06844"/>
    <w:rsid w:val="00A21A6D"/>
    <w:rsid w:val="00A251B9"/>
    <w:rsid w:val="00A334C7"/>
    <w:rsid w:val="00A650AA"/>
    <w:rsid w:val="00AB2937"/>
    <w:rsid w:val="00AF7577"/>
    <w:rsid w:val="00B40830"/>
    <w:rsid w:val="00B6644A"/>
    <w:rsid w:val="00B73B4F"/>
    <w:rsid w:val="00B81819"/>
    <w:rsid w:val="00B81878"/>
    <w:rsid w:val="00BA0A3F"/>
    <w:rsid w:val="00BF289E"/>
    <w:rsid w:val="00C26BAA"/>
    <w:rsid w:val="00C467C2"/>
    <w:rsid w:val="00CC4B07"/>
    <w:rsid w:val="00CD07AA"/>
    <w:rsid w:val="00D44B98"/>
    <w:rsid w:val="00DC09EF"/>
    <w:rsid w:val="00DE7E0F"/>
    <w:rsid w:val="00E41188"/>
    <w:rsid w:val="00E56273"/>
    <w:rsid w:val="00F03955"/>
    <w:rsid w:val="00F33E71"/>
    <w:rsid w:val="00F652B1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  <w:style w:type="paragraph" w:styleId="Corpotesto">
    <w:name w:val="Body Text"/>
    <w:basedOn w:val="Normale"/>
    <w:link w:val="CorpotestoCarattere"/>
    <w:uiPriority w:val="1"/>
    <w:qFormat/>
    <w:rsid w:val="00BF289E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289E"/>
    <w:rPr>
      <w:rFonts w:ascii="Arial" w:eastAsia="Arial" w:hAnsi="Arial" w:cs="Arial"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ACF040-0186-4A05-9680-A3BD23AC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27</cp:revision>
  <dcterms:created xsi:type="dcterms:W3CDTF">2016-04-01T09:45:00Z</dcterms:created>
  <dcterms:modified xsi:type="dcterms:W3CDTF">2018-12-13T13:12:00Z</dcterms:modified>
</cp:coreProperties>
</file>