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8E" w:rsidRPr="00975A73" w:rsidRDefault="00975A73" w:rsidP="00FE208E">
      <w:pPr>
        <w:spacing w:before="180" w:after="180" w:line="0" w:lineRule="atLeast"/>
        <w:jc w:val="center"/>
        <w:rPr>
          <w:rFonts w:ascii="Bernard MT Condensed" w:eastAsia="BatangChe" w:hAnsi="Bernard MT Condensed" w:cs="Vijaya"/>
          <w:sz w:val="63"/>
          <w:szCs w:val="63"/>
        </w:rPr>
      </w:pPr>
      <w:r w:rsidRPr="00975A73">
        <w:rPr>
          <w:rFonts w:ascii="Bernard MT Condensed" w:eastAsia="BatangChe" w:hAnsi="Bernard MT Condensed" w:cs="Vijaya"/>
          <w:sz w:val="63"/>
          <w:szCs w:val="63"/>
        </w:rPr>
        <w:t>Giulianello, inaugurato lo spazio giochi per bambini al</w:t>
      </w:r>
      <w:r w:rsidR="00276154" w:rsidRPr="00975A73">
        <w:rPr>
          <w:rFonts w:ascii="Bernard MT Condensed" w:eastAsia="BatangChe" w:hAnsi="Bernard MT Condensed" w:cs="Vijaya"/>
          <w:sz w:val="63"/>
          <w:szCs w:val="63"/>
        </w:rPr>
        <w:t xml:space="preserve"> </w:t>
      </w:r>
      <w:r w:rsidRPr="00975A73">
        <w:rPr>
          <w:rFonts w:ascii="Bernard MT Condensed" w:eastAsia="BatangChe" w:hAnsi="Bernard MT Condensed" w:cs="Vijaya"/>
          <w:sz w:val="63"/>
          <w:szCs w:val="63"/>
        </w:rPr>
        <w:t xml:space="preserve">parco </w:t>
      </w:r>
      <w:r w:rsidR="00276154" w:rsidRPr="00975A73">
        <w:rPr>
          <w:rFonts w:ascii="Bernard MT Condensed" w:eastAsia="BatangChe" w:hAnsi="Bernard MT Condensed" w:cs="Vijaya"/>
          <w:sz w:val="63"/>
          <w:szCs w:val="63"/>
        </w:rPr>
        <w:t>“Verdeazzurro”</w:t>
      </w:r>
    </w:p>
    <w:p w:rsidR="00FE208E" w:rsidRPr="00DF2B33" w:rsidRDefault="00276154" w:rsidP="00975A73">
      <w:pPr>
        <w:spacing w:before="180" w:after="180" w:line="0" w:lineRule="atLeast"/>
        <w:jc w:val="both"/>
        <w:rPr>
          <w:rFonts w:ascii="Impact" w:eastAsia="BatangChe" w:hAnsi="Impact" w:cs="Vijaya"/>
          <w:sz w:val="27"/>
          <w:szCs w:val="27"/>
        </w:rPr>
      </w:pPr>
      <w:r w:rsidRPr="00DF2B33">
        <w:rPr>
          <w:rFonts w:ascii="Impact" w:eastAsia="BatangChe" w:hAnsi="Impact" w:cs="Vijaya"/>
          <w:sz w:val="27"/>
          <w:szCs w:val="27"/>
        </w:rPr>
        <w:t xml:space="preserve">Il progetto </w:t>
      </w:r>
      <w:r w:rsidR="00975A73" w:rsidRPr="00DF2B33">
        <w:rPr>
          <w:rFonts w:ascii="Impact" w:eastAsia="BatangChe" w:hAnsi="Impact" w:cs="Vijaya"/>
          <w:sz w:val="27"/>
          <w:szCs w:val="27"/>
        </w:rPr>
        <w:t xml:space="preserve">finanziato dalla Rete di Imprese </w:t>
      </w:r>
      <w:r w:rsidRPr="00DF2B33">
        <w:rPr>
          <w:rFonts w:ascii="Impact" w:eastAsia="BatangChe" w:hAnsi="Impact" w:cs="Vijaya"/>
          <w:sz w:val="27"/>
          <w:szCs w:val="27"/>
        </w:rPr>
        <w:t xml:space="preserve">si è concretizzato nella realizzazione </w:t>
      </w:r>
      <w:r w:rsidR="00FE208E" w:rsidRPr="00DF2B33">
        <w:rPr>
          <w:rFonts w:ascii="Impact" w:eastAsia="BatangChe" w:hAnsi="Impact" w:cs="Vijaya"/>
          <w:sz w:val="27"/>
          <w:szCs w:val="27"/>
        </w:rPr>
        <w:t>di u</w:t>
      </w:r>
      <w:r w:rsidR="00975A73" w:rsidRPr="00DF2B33">
        <w:rPr>
          <w:rFonts w:ascii="Impact" w:eastAsia="BatangChe" w:hAnsi="Impact" w:cs="Vijaya"/>
          <w:sz w:val="27"/>
          <w:szCs w:val="27"/>
        </w:rPr>
        <w:t xml:space="preserve">n’area ludica delimitata da </w:t>
      </w:r>
      <w:r w:rsidR="00FE208E" w:rsidRPr="00DF2B33">
        <w:rPr>
          <w:rFonts w:ascii="Impact" w:eastAsia="BatangChe" w:hAnsi="Impact" w:cs="Vijaya"/>
          <w:sz w:val="27"/>
          <w:szCs w:val="27"/>
        </w:rPr>
        <w:t xml:space="preserve">staccionata, </w:t>
      </w:r>
      <w:r w:rsidRPr="00DF2B33">
        <w:rPr>
          <w:rFonts w:ascii="Impact" w:eastAsia="BatangChe" w:hAnsi="Impact" w:cs="Vijaya"/>
          <w:sz w:val="27"/>
          <w:szCs w:val="27"/>
        </w:rPr>
        <w:t>comprensiva di</w:t>
      </w:r>
      <w:r w:rsidR="00FE208E" w:rsidRPr="00DF2B33">
        <w:rPr>
          <w:rFonts w:ascii="Impact" w:eastAsia="BatangChe" w:hAnsi="Impact" w:cs="Vijaya"/>
          <w:sz w:val="27"/>
          <w:szCs w:val="27"/>
        </w:rPr>
        <w:t xml:space="preserve"> torre combinata </w:t>
      </w:r>
      <w:r w:rsidR="00975A73" w:rsidRPr="00DF2B33">
        <w:rPr>
          <w:rFonts w:ascii="Impact" w:eastAsia="BatangChe" w:hAnsi="Impact" w:cs="Vijaya"/>
          <w:sz w:val="27"/>
          <w:szCs w:val="27"/>
        </w:rPr>
        <w:t xml:space="preserve">con </w:t>
      </w:r>
      <w:r w:rsidR="00FE208E" w:rsidRPr="00DF2B33">
        <w:rPr>
          <w:rFonts w:ascii="Impact" w:hAnsi="Impact" w:cs="Arial"/>
          <w:sz w:val="27"/>
          <w:szCs w:val="27"/>
        </w:rPr>
        <w:t>arrampicata</w:t>
      </w:r>
      <w:r w:rsidR="00FE208E" w:rsidRPr="00DF2B33">
        <w:rPr>
          <w:rFonts w:ascii="Impact" w:hAnsi="Impact"/>
          <w:sz w:val="27"/>
          <w:szCs w:val="27"/>
        </w:rPr>
        <w:t xml:space="preserve"> e</w:t>
      </w:r>
      <w:r w:rsidR="00DF2B33" w:rsidRPr="00DF2B33">
        <w:rPr>
          <w:rFonts w:ascii="Impact" w:hAnsi="Impact"/>
          <w:sz w:val="27"/>
          <w:szCs w:val="27"/>
        </w:rPr>
        <w:t xml:space="preserve"> scivolo e due altalene, </w:t>
      </w:r>
      <w:r w:rsidR="00FE208E" w:rsidRPr="00DF2B33">
        <w:rPr>
          <w:rFonts w:ascii="Impact" w:hAnsi="Impact"/>
          <w:sz w:val="27"/>
          <w:szCs w:val="27"/>
        </w:rPr>
        <w:t xml:space="preserve">una per disabili. </w:t>
      </w:r>
      <w:r w:rsidR="00DF2B33">
        <w:rPr>
          <w:rFonts w:ascii="Impact" w:eastAsia="BatangChe" w:hAnsi="Impact" w:cs="Vijaya"/>
          <w:sz w:val="27"/>
          <w:szCs w:val="27"/>
        </w:rPr>
        <w:t xml:space="preserve">È stato </w:t>
      </w:r>
      <w:r w:rsidR="00FE208E" w:rsidRPr="00DF2B33">
        <w:rPr>
          <w:rFonts w:ascii="Impact" w:eastAsia="BatangChe" w:hAnsi="Impact" w:cs="Vijaya"/>
          <w:sz w:val="27"/>
          <w:szCs w:val="27"/>
        </w:rPr>
        <w:t>implementato l’impianto di ill</w:t>
      </w:r>
      <w:r w:rsidR="00DF2B33">
        <w:rPr>
          <w:rFonts w:ascii="Impact" w:eastAsia="BatangChe" w:hAnsi="Impact" w:cs="Vijaya"/>
          <w:sz w:val="27"/>
          <w:szCs w:val="27"/>
        </w:rPr>
        <w:t>uminazione esistente mediante</w:t>
      </w:r>
      <w:r w:rsidR="00FE208E" w:rsidRPr="00DF2B33">
        <w:rPr>
          <w:rFonts w:ascii="Impact" w:eastAsia="BatangChe" w:hAnsi="Impact" w:cs="Vijaya"/>
          <w:sz w:val="27"/>
          <w:szCs w:val="27"/>
        </w:rPr>
        <w:t xml:space="preserve"> risistemazione dei punti luce usurati e</w:t>
      </w:r>
      <w:r w:rsidR="00DF2B33">
        <w:rPr>
          <w:rFonts w:ascii="Impact" w:eastAsia="BatangChe" w:hAnsi="Impact" w:cs="Vijaya"/>
          <w:sz w:val="27"/>
          <w:szCs w:val="27"/>
        </w:rPr>
        <w:t xml:space="preserve">d </w:t>
      </w:r>
      <w:r w:rsidR="00FE208E" w:rsidRPr="00DF2B33">
        <w:rPr>
          <w:rFonts w:ascii="Impact" w:eastAsia="BatangChe" w:hAnsi="Impact" w:cs="Vijaya"/>
          <w:sz w:val="27"/>
          <w:szCs w:val="27"/>
        </w:rPr>
        <w:t xml:space="preserve">installazione di un nuovo lampione </w:t>
      </w:r>
      <w:r w:rsidR="00DF2B33">
        <w:rPr>
          <w:rFonts w:ascii="Impact" w:eastAsia="BatangChe" w:hAnsi="Impact" w:cs="Vijaya"/>
          <w:sz w:val="27"/>
          <w:szCs w:val="27"/>
        </w:rPr>
        <w:t xml:space="preserve">entro </w:t>
      </w:r>
      <w:r w:rsidR="00FE208E" w:rsidRPr="00DF2B33">
        <w:rPr>
          <w:rFonts w:ascii="Impact" w:eastAsia="BatangChe" w:hAnsi="Impact" w:cs="Vijaya"/>
          <w:sz w:val="27"/>
          <w:szCs w:val="27"/>
        </w:rPr>
        <w:t>una panchina in muratura costruita ex novo.</w:t>
      </w:r>
    </w:p>
    <w:p w:rsidR="00FE208E" w:rsidRPr="004D4734" w:rsidRDefault="000F3BB2" w:rsidP="000F3BB2">
      <w:pPr>
        <w:spacing w:before="180" w:after="180" w:line="0" w:lineRule="atLeast"/>
        <w:ind w:firstLine="425"/>
        <w:jc w:val="both"/>
        <w:rPr>
          <w:rFonts w:ascii="Century Gothic" w:eastAsia="BatangChe" w:hAnsi="Century Gothic" w:cs="Vijaya"/>
          <w:sz w:val="26"/>
          <w:szCs w:val="26"/>
        </w:rPr>
      </w:pPr>
      <w:r w:rsidRPr="004D4734">
        <w:rPr>
          <w:rFonts w:ascii="Century Gothic" w:eastAsia="BatangChe" w:hAnsi="Century Gothic" w:cs="Vijaya"/>
          <w:sz w:val="26"/>
          <w:szCs w:val="26"/>
        </w:rPr>
        <w:t>È stato inaugurato</w:t>
      </w:r>
      <w:r w:rsidR="00276154" w:rsidRPr="004D4734">
        <w:rPr>
          <w:rFonts w:ascii="Century Gothic" w:eastAsia="BatangChe" w:hAnsi="Century Gothic" w:cs="Vijaya"/>
          <w:sz w:val="26"/>
          <w:szCs w:val="26"/>
        </w:rPr>
        <w:t xml:space="preserve"> 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stamattina </w:t>
      </w:r>
      <w:r w:rsidRPr="004D4734">
        <w:rPr>
          <w:rFonts w:ascii="Century Gothic" w:hAnsi="Century Gothic" w:cs="Microsoft Sans Serif"/>
          <w:color w:val="000000" w:themeColor="text1"/>
          <w:sz w:val="26"/>
          <w:szCs w:val="26"/>
          <w:shd w:val="clear" w:color="auto" w:fill="FFFFFF"/>
        </w:rPr>
        <w:t xml:space="preserve">lo </w:t>
      </w:r>
      <w:r w:rsidRPr="004D4734">
        <w:rPr>
          <w:rFonts w:ascii="Century Gothic" w:hAnsi="Century Gothic" w:cs="Microsoft Sans Serif"/>
          <w:b/>
          <w:color w:val="000000" w:themeColor="text1"/>
          <w:sz w:val="26"/>
          <w:szCs w:val="26"/>
          <w:shd w:val="clear" w:color="auto" w:fill="FFFFFF"/>
        </w:rPr>
        <w:t xml:space="preserve">spazio giochi per bambini realizzato </w:t>
      </w:r>
      <w:r w:rsidR="00276154" w:rsidRPr="004D4734">
        <w:rPr>
          <w:rFonts w:ascii="Century Gothic" w:eastAsia="BatangChe" w:hAnsi="Century Gothic" w:cs="Vijaya"/>
          <w:b/>
          <w:sz w:val="26"/>
          <w:szCs w:val="26"/>
        </w:rPr>
        <w:t>all’interno del parco comunale “Verdeazzurro”</w:t>
      </w:r>
      <w:r w:rsidRPr="004D4734">
        <w:rPr>
          <w:rFonts w:ascii="Century Gothic" w:eastAsia="BatangChe" w:hAnsi="Century Gothic" w:cs="Vijaya"/>
          <w:b/>
          <w:sz w:val="26"/>
          <w:szCs w:val="26"/>
        </w:rPr>
        <w:t>,</w:t>
      </w:r>
      <w:r w:rsidR="00276154" w:rsidRPr="004D4734">
        <w:rPr>
          <w:rFonts w:ascii="Century Gothic" w:eastAsia="BatangChe" w:hAnsi="Century Gothic" w:cs="Vijaya"/>
          <w:sz w:val="26"/>
          <w:szCs w:val="26"/>
        </w:rPr>
        <w:t xml:space="preserve"> 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a Giulianello, </w:t>
      </w:r>
      <w:r w:rsidR="00276154" w:rsidRPr="004D4734">
        <w:rPr>
          <w:rFonts w:ascii="Century Gothic" w:eastAsia="BatangChe" w:hAnsi="Century Gothic" w:cs="Vijaya"/>
          <w:sz w:val="26"/>
          <w:szCs w:val="26"/>
        </w:rPr>
        <w:t xml:space="preserve">tra piazza della </w:t>
      </w:r>
      <w:proofErr w:type="spellStart"/>
      <w:r w:rsidR="00276154" w:rsidRPr="004D4734">
        <w:rPr>
          <w:rFonts w:ascii="Century Gothic" w:eastAsia="BatangChe" w:hAnsi="Century Gothic" w:cs="Vijaya"/>
          <w:sz w:val="26"/>
          <w:szCs w:val="26"/>
        </w:rPr>
        <w:t>Fontanaccia</w:t>
      </w:r>
      <w:proofErr w:type="spellEnd"/>
      <w:r w:rsidR="00276154" w:rsidRPr="004D4734">
        <w:rPr>
          <w:rFonts w:ascii="Century Gothic" w:eastAsia="BatangChe" w:hAnsi="Century Gothic" w:cs="Vijaya"/>
          <w:sz w:val="26"/>
          <w:szCs w:val="26"/>
        </w:rPr>
        <w:t xml:space="preserve"> e Via Don Si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lvestro Radicchi. Quest’opera di riqualificazione e valorizzazione dell’area verde, come quella simile già </w:t>
      </w:r>
      <w:r w:rsidR="002651FF">
        <w:rPr>
          <w:rFonts w:ascii="Century Gothic" w:eastAsia="BatangChe" w:hAnsi="Century Gothic" w:cs="Vijaya"/>
          <w:sz w:val="26"/>
          <w:szCs w:val="26"/>
        </w:rPr>
        <w:t xml:space="preserve">conclusa pochi mesi fa </w:t>
      </w:r>
      <w:r w:rsidRPr="004D4734">
        <w:rPr>
          <w:rFonts w:ascii="Century Gothic" w:hAnsi="Century Gothic" w:cs="Microsoft Sans Serif"/>
          <w:color w:val="000000" w:themeColor="text1"/>
          <w:sz w:val="26"/>
          <w:szCs w:val="26"/>
          <w:shd w:val="clear" w:color="auto" w:fill="FFFFFF"/>
        </w:rPr>
        <w:t xml:space="preserve">nel giardino pubblico di piazza Signina, è </w:t>
      </w:r>
      <w:r w:rsidRPr="004D4734">
        <w:rPr>
          <w:rFonts w:ascii="Century Gothic" w:eastAsia="BatangChe" w:hAnsi="Century Gothic" w:cs="Vijaya"/>
          <w:sz w:val="26"/>
          <w:szCs w:val="26"/>
        </w:rPr>
        <w:t>stata finanziata con fondi regionali dall’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>Associazione “Cori e Giulianello in Rete”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, 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 xml:space="preserve">la rete di imprese locale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costituita da 45 operatori economici del territorio - </w:t>
      </w:r>
      <w:r w:rsidR="00FE208E" w:rsidRPr="004D4734">
        <w:rPr>
          <w:rFonts w:ascii="Century Gothic" w:hAnsi="Century Gothic" w:cs="Microsoft Sans Serif"/>
          <w:color w:val="000000" w:themeColor="text1"/>
          <w:sz w:val="26"/>
          <w:szCs w:val="26"/>
          <w:shd w:val="clear" w:color="auto" w:fill="FFFFFF"/>
        </w:rPr>
        <w:t>commerciali, artigiani, turistici e dei servizi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 – in accordo con il 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>Comune di Cori</w:t>
      </w:r>
      <w:r w:rsidRPr="004D4734">
        <w:rPr>
          <w:rFonts w:ascii="Century Gothic" w:eastAsia="BatangChe" w:hAnsi="Century Gothic" w:cs="Vijaya"/>
          <w:sz w:val="26"/>
          <w:szCs w:val="26"/>
        </w:rPr>
        <w:t>, ente supervisore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. </w:t>
      </w:r>
    </w:p>
    <w:p w:rsidR="00FE208E" w:rsidRPr="004D4734" w:rsidRDefault="00975A73" w:rsidP="00FE208E">
      <w:pPr>
        <w:spacing w:before="180" w:after="180" w:line="0" w:lineRule="atLeast"/>
        <w:ind w:firstLine="425"/>
        <w:jc w:val="both"/>
        <w:rPr>
          <w:rFonts w:ascii="Century Gothic" w:eastAsia="BatangChe" w:hAnsi="Century Gothic" w:cs="Vijaya"/>
          <w:sz w:val="26"/>
          <w:szCs w:val="26"/>
        </w:rPr>
      </w:pPr>
      <w:r w:rsidRPr="004D4734">
        <w:rPr>
          <w:rFonts w:ascii="Century Gothic" w:eastAsia="BatangChe" w:hAnsi="Century Gothic" w:cs="Vijaya"/>
          <w:sz w:val="26"/>
          <w:szCs w:val="26"/>
        </w:rPr>
        <w:t xml:space="preserve">Si tratta di un 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 xml:space="preserve">intervento 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che 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>punta</w:t>
      </w:r>
      <w:r w:rsidR="004D4734">
        <w:rPr>
          <w:rFonts w:ascii="Century Gothic" w:eastAsia="BatangChe" w:hAnsi="Century Gothic" w:cs="Vijaya"/>
          <w:sz w:val="26"/>
          <w:szCs w:val="26"/>
        </w:rPr>
        <w:t xml:space="preserve"> nel complesso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 xml:space="preserve"> a </w:t>
      </w:r>
      <w:r w:rsidR="00FC7B6B" w:rsidRPr="004D4734">
        <w:rPr>
          <w:rFonts w:ascii="Century Gothic" w:eastAsia="BatangChe" w:hAnsi="Century Gothic" w:cs="Vijaya"/>
          <w:b/>
          <w:sz w:val="26"/>
          <w:szCs w:val="26"/>
        </w:rPr>
        <w:t>migliorare ed incrementare la fruibilità e la sicurezza generale del sito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>.</w:t>
      </w:r>
      <w:r w:rsidR="00FC7B6B" w:rsidRPr="004D4734">
        <w:rPr>
          <w:rFonts w:ascii="Century Gothic" w:hAnsi="Century Gothic"/>
          <w:sz w:val="26"/>
          <w:szCs w:val="26"/>
        </w:rPr>
        <w:t xml:space="preserve">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>I lavori si</w:t>
      </w:r>
      <w:r w:rsidR="000F3BB2" w:rsidRPr="004D4734">
        <w:rPr>
          <w:rFonts w:ascii="Century Gothic" w:eastAsia="BatangChe" w:hAnsi="Century Gothic" w:cs="Vijaya"/>
          <w:sz w:val="26"/>
          <w:szCs w:val="26"/>
        </w:rPr>
        <w:t xml:space="preserve"> sono 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 xml:space="preserve">infatti </w:t>
      </w:r>
      <w:r w:rsidR="000F3BB2" w:rsidRPr="004D4734">
        <w:rPr>
          <w:rFonts w:ascii="Century Gothic" w:eastAsia="BatangChe" w:hAnsi="Century Gothic" w:cs="Vijaya"/>
          <w:sz w:val="26"/>
          <w:szCs w:val="26"/>
        </w:rPr>
        <w:t>concretizzati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 in un’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>area ludica esagonale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, delimitata da una 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>staccionata in legno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, entro la quale </w:t>
      </w:r>
      <w:r w:rsidR="000F3BB2" w:rsidRPr="004D4734">
        <w:rPr>
          <w:rFonts w:ascii="Century Gothic" w:eastAsia="BatangChe" w:hAnsi="Century Gothic" w:cs="Vijaya"/>
          <w:sz w:val="26"/>
          <w:szCs w:val="26"/>
        </w:rPr>
        <w:t xml:space="preserve">sono stati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posizionati una 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 xml:space="preserve">torre combinata con </w:t>
      </w:r>
      <w:r w:rsidR="00FE208E" w:rsidRPr="004D4734">
        <w:rPr>
          <w:rFonts w:ascii="Century Gothic" w:hAnsi="Century Gothic" w:cs="Arial"/>
          <w:b/>
          <w:sz w:val="26"/>
          <w:szCs w:val="26"/>
        </w:rPr>
        <w:t>arrampicata</w:t>
      </w:r>
      <w:r w:rsidR="00FE208E" w:rsidRPr="004D4734">
        <w:rPr>
          <w:rFonts w:ascii="Century Gothic" w:hAnsi="Century Gothic"/>
          <w:b/>
          <w:sz w:val="26"/>
          <w:szCs w:val="26"/>
        </w:rPr>
        <w:t xml:space="preserve"> e scivolo e due altalene, di cui una per disabili</w:t>
      </w:r>
      <w:r w:rsidR="00FE208E" w:rsidRPr="004D4734">
        <w:rPr>
          <w:rFonts w:ascii="Century Gothic" w:hAnsi="Century Gothic"/>
          <w:sz w:val="26"/>
          <w:szCs w:val="26"/>
        </w:rPr>
        <w:t xml:space="preserve">.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Inoltre si </w:t>
      </w:r>
      <w:r w:rsidR="00FC7B6B" w:rsidRPr="004D4734">
        <w:rPr>
          <w:rFonts w:ascii="Century Gothic" w:eastAsia="BatangChe" w:hAnsi="Century Gothic" w:cs="Vijaya"/>
          <w:sz w:val="26"/>
          <w:szCs w:val="26"/>
        </w:rPr>
        <w:t>è proceduto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 all’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 xml:space="preserve">implementazione dell’impianto di illuminazione esistente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mediante la 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>risistemazione dei punti luce usurati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 e l’</w:t>
      </w:r>
      <w:r w:rsidR="00FE208E" w:rsidRPr="004D4734">
        <w:rPr>
          <w:rFonts w:ascii="Century Gothic" w:eastAsia="BatangChe" w:hAnsi="Century Gothic" w:cs="Vijaya"/>
          <w:b/>
          <w:sz w:val="26"/>
          <w:szCs w:val="26"/>
        </w:rPr>
        <w:t xml:space="preserve">installazione di un nuovo lampione </w:t>
      </w:r>
      <w:r w:rsidR="00FE208E" w:rsidRPr="004D4734">
        <w:rPr>
          <w:rFonts w:ascii="Century Gothic" w:eastAsia="BatangChe" w:hAnsi="Century Gothic" w:cs="Vijaya"/>
          <w:sz w:val="26"/>
          <w:szCs w:val="26"/>
        </w:rPr>
        <w:t xml:space="preserve">all’interno di una panchina in muratura costruita ex novo. </w:t>
      </w:r>
    </w:p>
    <w:p w:rsidR="00FC7B6B" w:rsidRPr="004D4734" w:rsidRDefault="00FC7B6B" w:rsidP="00FE208E">
      <w:pPr>
        <w:spacing w:before="180" w:after="180" w:line="0" w:lineRule="atLeast"/>
        <w:ind w:firstLine="425"/>
        <w:jc w:val="both"/>
        <w:rPr>
          <w:rFonts w:ascii="Century Gothic" w:eastAsia="BatangChe" w:hAnsi="Century Gothic" w:cs="Vijaya"/>
          <w:sz w:val="26"/>
          <w:szCs w:val="26"/>
        </w:rPr>
      </w:pPr>
      <w:r w:rsidRPr="004D4734">
        <w:rPr>
          <w:rFonts w:ascii="Century Gothic" w:eastAsia="BatangChe" w:hAnsi="Century Gothic" w:cs="Vijaya"/>
          <w:sz w:val="26"/>
          <w:szCs w:val="26"/>
        </w:rPr>
        <w:t>Il taglio del nastro è avvenuto per mano del Sindaco di Cori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>,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 </w:t>
      </w:r>
      <w:r w:rsidRPr="004D4734">
        <w:rPr>
          <w:rFonts w:ascii="Century Gothic" w:eastAsia="BatangChe" w:hAnsi="Century Gothic" w:cs="Vijaya"/>
          <w:b/>
          <w:sz w:val="26"/>
          <w:szCs w:val="26"/>
        </w:rPr>
        <w:t xml:space="preserve">Mauro De </w:t>
      </w:r>
      <w:proofErr w:type="spellStart"/>
      <w:r w:rsidRPr="004D4734">
        <w:rPr>
          <w:rFonts w:ascii="Century Gothic" w:eastAsia="BatangChe" w:hAnsi="Century Gothic" w:cs="Vijaya"/>
          <w:b/>
          <w:sz w:val="26"/>
          <w:szCs w:val="26"/>
        </w:rPr>
        <w:t>Lillis</w:t>
      </w:r>
      <w:proofErr w:type="spellEnd"/>
      <w:r w:rsidR="00975A73" w:rsidRPr="004D4734">
        <w:rPr>
          <w:rFonts w:ascii="Century Gothic" w:eastAsia="BatangChe" w:hAnsi="Century Gothic" w:cs="Vijaya"/>
          <w:sz w:val="26"/>
          <w:szCs w:val="26"/>
        </w:rPr>
        <w:t>,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 e del 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>P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residente 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dell’Associazione “Cori e Giulianello in Rete”, </w:t>
      </w:r>
      <w:r w:rsidR="00975A73" w:rsidRPr="004D4734">
        <w:rPr>
          <w:rFonts w:ascii="Century Gothic" w:eastAsia="BatangChe" w:hAnsi="Century Gothic" w:cs="Vijaya"/>
          <w:b/>
          <w:sz w:val="26"/>
          <w:szCs w:val="26"/>
        </w:rPr>
        <w:t>Rinaldo Costantini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, 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a margine delle iniziative natalizie organizzate dalla 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vicina </w:t>
      </w:r>
      <w:r w:rsidRPr="004D4734">
        <w:rPr>
          <w:rFonts w:ascii="Century Gothic" w:eastAsia="BatangChe" w:hAnsi="Century Gothic" w:cs="Vijaya"/>
          <w:sz w:val="26"/>
          <w:szCs w:val="26"/>
        </w:rPr>
        <w:t>scuola primaria “Don Silvestro Radicchi” di Giulianello. Hanno presenziato all’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evento, tra gli altri, </w:t>
      </w:r>
      <w:r w:rsidR="009506B0">
        <w:rPr>
          <w:rFonts w:ascii="Century Gothic" w:eastAsia="BatangChe" w:hAnsi="Century Gothic" w:cs="Vijaya"/>
          <w:sz w:val="26"/>
          <w:szCs w:val="26"/>
        </w:rPr>
        <w:t>il Segretario generale</w:t>
      </w:r>
      <w:r w:rsidR="0008049F">
        <w:rPr>
          <w:rFonts w:ascii="Century Gothic" w:eastAsia="BatangChe" w:hAnsi="Century Gothic" w:cs="Vijaya"/>
          <w:sz w:val="26"/>
          <w:szCs w:val="26"/>
        </w:rPr>
        <w:t xml:space="preserve"> ANA – Imprese Oggi</w:t>
      </w:r>
      <w:r w:rsidR="009506B0">
        <w:rPr>
          <w:rFonts w:ascii="Century Gothic" w:eastAsia="BatangChe" w:hAnsi="Century Gothic" w:cs="Vijaya"/>
          <w:sz w:val="26"/>
          <w:szCs w:val="26"/>
        </w:rPr>
        <w:t xml:space="preserve">, </w:t>
      </w:r>
      <w:r w:rsidR="009506B0" w:rsidRPr="0008049F">
        <w:rPr>
          <w:rFonts w:ascii="Century Gothic" w:eastAsia="BatangChe" w:hAnsi="Century Gothic" w:cs="Vijaya"/>
          <w:b/>
          <w:sz w:val="26"/>
          <w:szCs w:val="26"/>
        </w:rPr>
        <w:t>Marrico Rosato</w:t>
      </w:r>
      <w:r w:rsidR="0008049F">
        <w:rPr>
          <w:rFonts w:ascii="Century Gothic" w:eastAsia="BatangChe" w:hAnsi="Century Gothic" w:cs="Vijaya"/>
          <w:sz w:val="26"/>
          <w:szCs w:val="26"/>
        </w:rPr>
        <w:t xml:space="preserve">; </w:t>
      </w:r>
      <w:r w:rsidRPr="004D4734">
        <w:rPr>
          <w:rFonts w:ascii="Century Gothic" w:eastAsia="BatangChe" w:hAnsi="Century Gothic" w:cs="Vijaya"/>
          <w:sz w:val="26"/>
          <w:szCs w:val="26"/>
        </w:rPr>
        <w:t>l’Assessore ai Lavori Pubblici</w:t>
      </w:r>
      <w:r w:rsidR="00975A73" w:rsidRPr="004D4734">
        <w:rPr>
          <w:rFonts w:ascii="Century Gothic" w:eastAsia="BatangChe" w:hAnsi="Century Gothic" w:cs="Vijaya"/>
          <w:sz w:val="26"/>
          <w:szCs w:val="26"/>
        </w:rPr>
        <w:t xml:space="preserve"> del Comune di Cori,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 </w:t>
      </w:r>
      <w:r w:rsidRPr="004D4734">
        <w:rPr>
          <w:rFonts w:ascii="Century Gothic" w:eastAsia="BatangChe" w:hAnsi="Century Gothic" w:cs="Vijaya"/>
          <w:b/>
          <w:sz w:val="26"/>
          <w:szCs w:val="26"/>
        </w:rPr>
        <w:t xml:space="preserve">Ennio </w:t>
      </w:r>
      <w:proofErr w:type="spellStart"/>
      <w:r w:rsidRPr="004D4734">
        <w:rPr>
          <w:rFonts w:ascii="Century Gothic" w:eastAsia="BatangChe" w:hAnsi="Century Gothic" w:cs="Vijaya"/>
          <w:b/>
          <w:sz w:val="26"/>
          <w:szCs w:val="26"/>
        </w:rPr>
        <w:t>Afilani</w:t>
      </w:r>
      <w:proofErr w:type="spellEnd"/>
      <w:r w:rsidR="0008049F">
        <w:rPr>
          <w:rFonts w:ascii="Century Gothic" w:eastAsia="BatangChe" w:hAnsi="Century Gothic" w:cs="Vijaya"/>
          <w:sz w:val="26"/>
          <w:szCs w:val="26"/>
        </w:rPr>
        <w:t>;</w:t>
      </w:r>
      <w:r w:rsidR="00477723">
        <w:rPr>
          <w:rFonts w:ascii="Century Gothic" w:eastAsia="BatangChe" w:hAnsi="Century Gothic" w:cs="Vijaya"/>
          <w:sz w:val="26"/>
          <w:szCs w:val="26"/>
        </w:rPr>
        <w:t xml:space="preserve"> l’Assessore alle Politiche Sociali, </w:t>
      </w:r>
      <w:r w:rsidR="00477723" w:rsidRPr="00477723">
        <w:rPr>
          <w:rFonts w:ascii="Century Gothic" w:eastAsia="BatangChe" w:hAnsi="Century Gothic" w:cs="Vijaya"/>
          <w:b/>
          <w:sz w:val="26"/>
          <w:szCs w:val="26"/>
        </w:rPr>
        <w:t>Chiara Cochi</w:t>
      </w:r>
      <w:r w:rsidR="0008049F">
        <w:rPr>
          <w:rFonts w:ascii="Century Gothic" w:eastAsia="BatangChe" w:hAnsi="Century Gothic" w:cs="Vijaya"/>
          <w:sz w:val="26"/>
          <w:szCs w:val="26"/>
        </w:rPr>
        <w:t>;</w:t>
      </w:r>
      <w:r w:rsidR="00477723">
        <w:rPr>
          <w:rFonts w:ascii="Century Gothic" w:eastAsia="BatangChe" w:hAnsi="Century Gothic" w:cs="Vijaya"/>
          <w:sz w:val="26"/>
          <w:szCs w:val="26"/>
        </w:rPr>
        <w:t xml:space="preserve"> </w:t>
      </w:r>
      <w:r w:rsidRPr="004D4734">
        <w:rPr>
          <w:rFonts w:ascii="Century Gothic" w:eastAsia="BatangChe" w:hAnsi="Century Gothic" w:cs="Vijaya"/>
          <w:sz w:val="26"/>
          <w:szCs w:val="26"/>
        </w:rPr>
        <w:t xml:space="preserve">la Delegata alle Attività Produttive </w:t>
      </w:r>
      <w:r w:rsidRPr="004D4734">
        <w:rPr>
          <w:rFonts w:ascii="Century Gothic" w:eastAsia="BatangChe" w:hAnsi="Century Gothic" w:cs="Vijaya"/>
          <w:b/>
          <w:sz w:val="26"/>
          <w:szCs w:val="26"/>
        </w:rPr>
        <w:t xml:space="preserve">Annamaria </w:t>
      </w:r>
      <w:proofErr w:type="spellStart"/>
      <w:r w:rsidRPr="004D4734">
        <w:rPr>
          <w:rFonts w:ascii="Century Gothic" w:eastAsia="BatangChe" w:hAnsi="Century Gothic" w:cs="Vijaya"/>
          <w:b/>
          <w:sz w:val="26"/>
          <w:szCs w:val="26"/>
        </w:rPr>
        <w:t>Tebaldi</w:t>
      </w:r>
      <w:proofErr w:type="spellEnd"/>
      <w:r w:rsidRPr="004D4734">
        <w:rPr>
          <w:rFonts w:ascii="Century Gothic" w:eastAsia="BatangChe" w:hAnsi="Century Gothic" w:cs="Vijaya"/>
          <w:sz w:val="26"/>
          <w:szCs w:val="26"/>
        </w:rPr>
        <w:t xml:space="preserve">; il </w:t>
      </w:r>
      <w:r w:rsidR="00E77F01" w:rsidRPr="004D4734">
        <w:rPr>
          <w:rFonts w:ascii="Century Gothic" w:eastAsia="BatangChe" w:hAnsi="Century Gothic" w:cs="Vijaya"/>
          <w:sz w:val="26"/>
          <w:szCs w:val="26"/>
        </w:rPr>
        <w:t>geometra</w:t>
      </w:r>
      <w:r w:rsidR="00E77F01" w:rsidRPr="004D4734">
        <w:rPr>
          <w:rFonts w:ascii="Century Gothic" w:eastAsia="BatangChe" w:hAnsi="Century Gothic" w:cs="Vijaya"/>
          <w:sz w:val="26"/>
          <w:szCs w:val="26"/>
        </w:rPr>
        <w:t xml:space="preserve"> </w:t>
      </w:r>
      <w:bookmarkStart w:id="0" w:name="_GoBack"/>
      <w:bookmarkEnd w:id="0"/>
      <w:r w:rsidRPr="004D4734">
        <w:rPr>
          <w:rFonts w:ascii="Century Gothic" w:eastAsia="BatangChe" w:hAnsi="Century Gothic" w:cs="Vijaya"/>
          <w:sz w:val="26"/>
          <w:szCs w:val="26"/>
        </w:rPr>
        <w:t xml:space="preserve">progettista del cantiere, </w:t>
      </w:r>
      <w:r w:rsidRPr="004D4734">
        <w:rPr>
          <w:rFonts w:ascii="Century Gothic" w:eastAsia="BatangChe" w:hAnsi="Century Gothic" w:cs="Vijaya"/>
          <w:b/>
          <w:sz w:val="26"/>
          <w:szCs w:val="26"/>
        </w:rPr>
        <w:t>Edoardo Ciuffa.</w:t>
      </w:r>
    </w:p>
    <w:sectPr w:rsidR="00FC7B6B" w:rsidRPr="004D4734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E77F01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20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AC7F7D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20 dicembre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E77F01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8049F"/>
    <w:rsid w:val="000D64D2"/>
    <w:rsid w:val="000F3BB2"/>
    <w:rsid w:val="001B19F9"/>
    <w:rsid w:val="001E0692"/>
    <w:rsid w:val="001E693A"/>
    <w:rsid w:val="002248B9"/>
    <w:rsid w:val="002523CA"/>
    <w:rsid w:val="002651FF"/>
    <w:rsid w:val="0026590C"/>
    <w:rsid w:val="00276154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77723"/>
    <w:rsid w:val="00481199"/>
    <w:rsid w:val="004B66DD"/>
    <w:rsid w:val="004D4734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9506B0"/>
    <w:rsid w:val="00975A73"/>
    <w:rsid w:val="00A06844"/>
    <w:rsid w:val="00A21A6D"/>
    <w:rsid w:val="00A251B9"/>
    <w:rsid w:val="00A334C7"/>
    <w:rsid w:val="00A650AA"/>
    <w:rsid w:val="00AB2937"/>
    <w:rsid w:val="00AC7F7D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DF2B33"/>
    <w:rsid w:val="00E41188"/>
    <w:rsid w:val="00E56273"/>
    <w:rsid w:val="00E77F01"/>
    <w:rsid w:val="00F03955"/>
    <w:rsid w:val="00F33E71"/>
    <w:rsid w:val="00F652B1"/>
    <w:rsid w:val="00FC7B6B"/>
    <w:rsid w:val="00FE208E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56F0B-635D-452B-9EF2-AD044F1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35</cp:revision>
  <dcterms:created xsi:type="dcterms:W3CDTF">2016-04-01T09:45:00Z</dcterms:created>
  <dcterms:modified xsi:type="dcterms:W3CDTF">2018-12-19T13:19:00Z</dcterms:modified>
</cp:coreProperties>
</file>